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9041B0"/>
          <w:sz w:val="18"/>
          <w:szCs w:val="18"/>
        </w:rPr>
        <w:t xml:space="preserve">SITE TRAFFIC MANAGEMENT PLAN</w:t>
      </w:r>
    </w:p>
    <w:p>
      <w:pPr>
        <w:pStyle w:val="Heading1"/>
        <w:spacing w:after="120"/>
      </w:pPr>
      <w:r>
        <w:rPr>
          <w:rFonts w:ascii="Arial" w:cs="Arial" w:eastAsia="Arial" w:hAnsi="Arial"/>
          <w:b/>
          <w:bCs/>
          <w:color w:val="04282D"/>
          <w:sz w:val="40"/>
          <w:szCs w:val="40"/>
        </w:rPr>
        <w:t xml:space="preserve">Traffic Management Plan Template</w:t>
      </w:r>
    </w:p>
    <w:p>
      <w:pPr>
        <w:spacing w:after="200" w:before="0"/>
      </w:pPr>
      <w:r>
        <w:rPr>
          <w:rFonts w:ascii="Arial" w:cs="Arial" w:eastAsia="Arial" w:hAnsi="Arial"/>
          <w:color w:val="5A6B6E"/>
          <w:sz w:val="20"/>
          <w:szCs w:val="20"/>
        </w:rPr>
        <w:t xml:space="preserve">Built on HSE’s A guide to workplace transport safety (HSG136, 3rd edition, 2014). Fifteen sections, each with the HSE guidance that applies and space for your site’s own arrangements. Delete the grey guidance lines when you are done.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c>
          <w:tcPr>
            <w:tcW w:type="dxa" w:w="30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Site name</w:t>
            </w:r>
          </w:p>
        </w:tc>
        <w:tc>
          <w:tcPr>
            <w:tcW w:type="dxa" w:w="66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0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Address</w:t>
            </w:r>
          </w:p>
        </w:tc>
        <w:tc>
          <w:tcPr>
            <w:tcW w:type="dxa" w:w="66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0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Plan owner</w:t>
            </w:r>
          </w:p>
        </w:tc>
        <w:tc>
          <w:tcPr>
            <w:tcW w:type="dxa" w:w="66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0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Version and date</w:t>
            </w:r>
          </w:p>
        </w:tc>
        <w:tc>
          <w:tcPr>
            <w:tcW w:type="dxa" w:w="66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0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Next review date</w:t>
            </w:r>
          </w:p>
        </w:tc>
        <w:tc>
          <w:tcPr>
            <w:tcW w:type="dxa" w:w="66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0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Approved by</w:t>
            </w:r>
          </w:p>
        </w:tc>
        <w:tc>
          <w:tcPr>
            <w:tcW w:type="dxa" w:w="66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spacing w:after="120" w:before="160"/>
      </w:pPr>
      <w:r>
        <w:rPr>
          <w:rFonts w:ascii="Arial" w:cs="Arial" w:eastAsia="Arial" w:hAnsi="Arial"/>
          <w:i/>
          <w:iCs/>
          <w:color w:val="5A6B6E"/>
          <w:sz w:val="16"/>
          <w:szCs w:val="16"/>
        </w:rPr>
        <w:t xml:space="preserve">UK law does not prescribe a form for this plan. The duties are that the workplace is organised so pedestrians and vehicles can circulate safely (Workplace (Health, Safety and Welfare) Regulations 1992, reg 17), that the risks are assessed (Management of Health and Safety at Work Regulations 1999, reg 3), and that controls are monitored and reviewed (reg 5).</w:t>
      </w:r>
    </w:p>
    <w:p>
      <w:pPr>
        <w:pStyle w:val="Heading2"/>
        <w:spacing w:after="80" w:before="280"/>
      </w:pPr>
      <w:r>
        <w:rPr>
          <w:rFonts w:ascii="Arial" w:cs="Arial" w:eastAsia="Arial" w:hAnsi="Arial"/>
          <w:b/>
          <w:bCs/>
          <w:color w:val="1A4D52"/>
          <w:sz w:val="26"/>
          <w:szCs w:val="26"/>
        </w:rPr>
        <w:t xml:space="preserve">1. Site map</w:t>
      </w:r>
    </w:p>
    <w:p>
      <w:pPr>
        <w:spacing w:after="100" w:before="0"/>
      </w:pPr>
      <w:r>
        <w:rPr>
          <w:rFonts w:ascii="Arial" w:cs="Arial" w:eastAsia="Arial" w:hAnsi="Arial"/>
          <w:i/>
          <w:iCs/>
          <w:color w:val="5A6B6E"/>
          <w:sz w:val="18"/>
          <w:szCs w:val="18"/>
        </w:rPr>
        <w:t xml:space="preserve">Attach one drawing showing vehicle routes, pedestrian routes, crossings, gates, loading areas, parking and no-go zones. HSG136 (para 15) asks you to build up “a clear picture of vehicle and pedestrian traffic movements”.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Drawing reference and date</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What it shows (routes, crossings, gates, loading, parking, no-go zones)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Times observed when the picture was built (include nights and shift change)</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2. Segregation</w:t>
      </w:r>
    </w:p>
    <w:p>
      <w:pPr>
        <w:spacing w:after="100" w:before="0"/>
      </w:pPr>
      <w:r>
        <w:rPr>
          <w:rFonts w:ascii="Arial" w:cs="Arial" w:eastAsia="Arial" w:hAnsi="Arial"/>
          <w:i/>
          <w:iCs/>
          <w:color w:val="5A6B6E"/>
          <w:sz w:val="18"/>
          <w:szCs w:val="18"/>
        </w:rPr>
        <w:t xml:space="preserve">“The main aim of any design should be the segregation of vehicles from pedestrians.” (HSG136, para 7)</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Where people and vehicles are physically separated (barriers, kerbs, separate routes)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Where they share space, and why</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Controls where they share space</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3. Crossing points</w:t>
      </w:r>
    </w:p>
    <w:p>
      <w:pPr>
        <w:spacing w:after="100" w:before="0"/>
      </w:pPr>
      <w:r>
        <w:rPr>
          <w:rFonts w:ascii="Arial" w:cs="Arial" w:eastAsia="Arial" w:hAnsi="Arial"/>
          <w:i/>
          <w:iCs/>
          <w:color w:val="5A6B6E"/>
          <w:sz w:val="18"/>
          <w:szCs w:val="18"/>
        </w:rPr>
        <w:t xml:space="preserve">Marked, signed, and with clear sight lines in all directions (HSG136, paras 51–52).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Location of each crossing</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How each is marked and signed</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Sight lines checked (date, by whom)</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4. One-way systems</w:t>
      </w:r>
    </w:p>
    <w:p>
      <w:pPr>
        <w:spacing w:after="100" w:before="0"/>
      </w:pPr>
      <w:r>
        <w:rPr>
          <w:rFonts w:ascii="Arial" w:cs="Arial" w:eastAsia="Arial" w:hAnsi="Arial"/>
          <w:i/>
          <w:iCs/>
          <w:color w:val="5A6B6E"/>
          <w:sz w:val="18"/>
          <w:szCs w:val="18"/>
        </w:rPr>
        <w:t xml:space="preserve">One-way systems “should work clockwise around a site”, unless there are reasons why this would not be safe (HSG136, para 44).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Routes and direction</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Exceptions, and the reason for each</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5. Speed</w:t>
      </w:r>
    </w:p>
    <w:p>
      <w:pPr>
        <w:spacing w:after="100" w:before="0"/>
      </w:pPr>
      <w:r>
        <w:rPr>
          <w:rFonts w:ascii="Arial" w:cs="Arial" w:eastAsia="Arial" w:hAnsi="Arial"/>
          <w:i/>
          <w:iCs/>
          <w:color w:val="5A6B6E"/>
          <w:sz w:val="18"/>
          <w:szCs w:val="18"/>
        </w:rPr>
        <w:t xml:space="preserve">Fixed traffic-calming measures first. Speed limits “based on informed data, by measuring the actual speeds of vehicles across the site” (HSG136, para 67).</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Traffic-calming measures in place</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Speed limits, and where they are signed</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How actual speeds were measured (date)</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6. Reversing</w:t>
      </w:r>
    </w:p>
    <w:p>
      <w:pPr>
        <w:spacing w:after="100" w:before="0"/>
      </w:pPr>
      <w:r>
        <w:rPr>
          <w:rFonts w:ascii="Arial" w:cs="Arial" w:eastAsia="Arial" w:hAnsi="Arial"/>
          <w:i/>
          <w:iCs/>
          <w:color w:val="5A6B6E"/>
          <w:sz w:val="18"/>
          <w:szCs w:val="18"/>
        </w:rPr>
        <w:t xml:space="preserve">“Removing the need for reversing is the most effective” way to control reversing risk (HSG136, para 90).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Where reversing has been designed out (drive-through, turning areas)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Where reversing still happens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Controls there (marked areas, visibility aids)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7. Banksmen</w:t>
      </w:r>
    </w:p>
    <w:p>
      <w:pPr>
        <w:spacing w:after="100" w:before="0"/>
      </w:pPr>
      <w:r>
        <w:rPr>
          <w:rFonts w:ascii="Arial" w:cs="Arial" w:eastAsia="Arial" w:hAnsi="Arial"/>
          <w:i/>
          <w:iCs/>
          <w:color w:val="5A6B6E"/>
          <w:sz w:val="18"/>
          <w:szCs w:val="18"/>
        </w:rPr>
        <w:t xml:space="preserve">Use a trained banksman “only when all other options have been exhausted” (HSG136, para 92).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Where banksmen are used, and why other options were not possible</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Who (trained, named roles)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Signals agreed with drivers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8. Loading and unloading</w:t>
      </w:r>
    </w:p>
    <w:p>
      <w:pPr>
        <w:spacing w:after="100" w:before="0"/>
      </w:pPr>
      <w:r>
        <w:rPr>
          <w:rFonts w:ascii="Arial" w:cs="Arial" w:eastAsia="Arial" w:hAnsi="Arial"/>
          <w:i/>
          <w:iCs/>
          <w:color w:val="5A6B6E"/>
          <w:sz w:val="18"/>
          <w:szCs w:val="18"/>
        </w:rPr>
        <w:t xml:space="preserve">Designated areas clear of passing traffic, a safe place for drivers to wait, and arrangements agreed in writing (HSG136, paras 120 and 127).</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Designated loading areas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Where drivers wait during loading</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Who is responsible, and where this is agreed in writing</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9. Visiting drivers</w:t>
      </w:r>
    </w:p>
    <w:p>
      <w:pPr>
        <w:spacing w:after="100" w:before="0"/>
      </w:pPr>
      <w:r>
        <w:rPr>
          <w:rFonts w:ascii="Arial" w:cs="Arial" w:eastAsia="Arial" w:hAnsi="Arial"/>
          <w:i/>
          <w:iCs/>
          <w:color w:val="5A6B6E"/>
          <w:sz w:val="18"/>
          <w:szCs w:val="18"/>
        </w:rPr>
        <w:t xml:space="preserve">Visiting drivers “may not have visited the site before and may not be fluent in English” (HSG136, para 125).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Where they report on arrival</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What they are told or given (map, rules, languages)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Their route to the loading area</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10. Parking</w:t>
      </w:r>
    </w:p>
    <w:p>
      <w:pPr>
        <w:spacing w:after="100" w:before="0"/>
      </w:pPr>
      <w:r>
        <w:rPr>
          <w:rFonts w:ascii="Arial" w:cs="Arial" w:eastAsia="Arial" w:hAnsi="Arial"/>
          <w:i/>
          <w:iCs/>
          <w:color w:val="5A6B6E"/>
          <w:sz w:val="18"/>
          <w:szCs w:val="18"/>
        </w:rPr>
        <w:t xml:space="preserve">Work vehicles separate from cars, and drivers not crossing work areas to reach them (HSG136, paras 98–99).</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Work vehicle parking</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Car parking</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Pedestrian routes from parking</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11. Lighting</w:t>
      </w:r>
    </w:p>
    <w:p>
      <w:pPr>
        <w:spacing w:after="100" w:before="0"/>
      </w:pPr>
      <w:r>
        <w:rPr>
          <w:rFonts w:ascii="Arial" w:cs="Arial" w:eastAsia="Arial" w:hAnsi="Arial"/>
          <w:i/>
          <w:iCs/>
          <w:color w:val="5A6B6E"/>
          <w:sz w:val="18"/>
          <w:szCs w:val="18"/>
        </w:rPr>
        <w:t xml:space="preserve">Routes, manoeuvring areas and yards “adequately lit” (HSG136, para 74).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Areas checked after dark (date)</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Dark spots found, and actions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12. Signs and markings</w:t>
      </w:r>
    </w:p>
    <w:p>
      <w:pPr>
        <w:spacing w:after="100" w:before="0"/>
      </w:pPr>
      <w:r>
        <w:rPr>
          <w:rFonts w:ascii="Arial" w:cs="Arial" w:eastAsia="Arial" w:hAnsi="Arial"/>
          <w:i/>
          <w:iCs/>
          <w:color w:val="5A6B6E"/>
          <w:sz w:val="18"/>
          <w:szCs w:val="18"/>
        </w:rPr>
        <w:t xml:space="preserve">Use the signs used on public roads wherever a suitable one exists, and keep them clean (HSG136, paras 69–70).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Signs and markings in use</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Inspection and cleaning arrangements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13. Roles</w:t>
      </w:r>
    </w:p>
    <w:p>
      <w:pPr>
        <w:spacing w:after="100" w:before="0"/>
      </w:pPr>
      <w:r>
        <w:rPr>
          <w:rFonts w:ascii="Arial" w:cs="Arial" w:eastAsia="Arial" w:hAnsi="Arial"/>
          <w:i/>
          <w:iCs/>
          <w:color w:val="5A6B6E"/>
          <w:sz w:val="18"/>
          <w:szCs w:val="18"/>
        </w:rPr>
        <w:t xml:space="preserve">Who owns the plan and who supervises it on each shift. HSG136 (para 23) calls supervision “an essential part of monitoring safe working”.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Plan owner</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Supervisor on each shift</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Who briefs contractors, agency staff and visitors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14. Emergencies</w:t>
      </w:r>
    </w:p>
    <w:p>
      <w:pPr>
        <w:spacing w:after="100" w:before="0"/>
      </w:pPr>
      <w:r>
        <w:rPr>
          <w:rFonts w:ascii="Arial" w:cs="Arial" w:eastAsia="Arial" w:hAnsi="Arial"/>
          <w:i/>
          <w:iCs/>
          <w:color w:val="5A6B6E"/>
          <w:sz w:val="18"/>
          <w:szCs w:val="18"/>
        </w:rPr>
        <w:t xml:space="preserve">Access for emergency vehicles, and how traffic is controlled during an evacuation.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Emergency vehicle access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Traffic control during an evacuation</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15. Monitoring and review</w:t>
      </w:r>
    </w:p>
    <w:p>
      <w:pPr>
        <w:spacing w:after="100" w:before="0"/>
      </w:pPr>
      <w:r>
        <w:rPr>
          <w:rFonts w:ascii="Arial" w:cs="Arial" w:eastAsia="Arial" w:hAnsi="Arial"/>
          <w:i/>
          <w:iCs/>
          <w:color w:val="5A6B6E"/>
          <w:sz w:val="18"/>
          <w:szCs w:val="18"/>
        </w:rPr>
        <w:t xml:space="preserve">The Management Regulations (reg 5) require arrangements for monitoring and review; the risk assessment must be reviewed after a significant change (reg 3). Use the logs at the end.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What is checked, where, and on which shifts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How often</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r>
        <w:tc>
          <w:tcPr>
            <w:tcW w:type="dxa" w:w="3400"/>
            <w:tcBorders>
              <w:top w:val="single" w:color="BFD3D6" w:sz="4"/>
              <w:left w:val="single" w:color="BFD3D6" w:sz="4"/>
              <w:bottom w:val="single" w:color="BFD3D6" w:sz="4"/>
              <w:right w:val="single" w:color="BFD3D6" w:sz="4"/>
            </w:tcBorders>
            <w:shd w:fill="EFF6F7" w:color="auto" w:val="clear"/>
            <w:tcMar>
              <w:top w:type="dxa" w:w="80"/>
              <w:left w:type="dxa" w:w="100"/>
              <w:bottom w:type="dxa" w:w="80"/>
              <w:right w:type="dxa" w:w="100"/>
            </w:tcMar>
          </w:tcPr>
          <w:p>
            <w:pPr>
              <w:spacing w:after="0" w:before="0"/>
            </w:pPr>
            <w:r>
              <w:rPr>
                <w:rFonts w:ascii="Arial" w:cs="Arial" w:eastAsia="Arial" w:hAnsi="Arial"/>
                <w:color w:val="04282D"/>
                <w:sz w:val="18"/>
                <w:szCs w:val="18"/>
              </w:rPr>
              <w:t xml:space="preserve">What triggers a review (new vehicles, routes, layout, shift pattern, an incident or near miss)</w:t>
            </w:r>
          </w:p>
        </w:tc>
        <w:tc>
          <w:tcPr>
            <w:tcW w:type="dxa" w:w="6238"/>
            <w:tcBorders>
              <w:top w:val="single" w:color="BFD3D6" w:sz="4"/>
              <w:left w:val="single" w:color="BFD3D6" w:sz="4"/>
              <w:bottom w:val="single" w:color="BFD3D6" w:sz="4"/>
              <w:right w:val="single" w:color="BFD3D6" w:sz="4"/>
            </w:tcBorders>
            <w:tcMar>
              <w:top w:type="dxa" w:w="80"/>
              <w:left w:type="dxa" w:w="100"/>
              <w:bottom w:type="dxa" w:w="80"/>
              <w:right w:type="dxa" w:w="100"/>
            </w:tcMar>
          </w:tcPr>
          <w:p>
            <w:pPr>
              <w:spacing w:after="0" w:before="0"/>
            </w:pPr>
            <w:r>
              <w:rPr>
                <w:rFonts w:ascii="Arial" w:cs="Arial" w:eastAsia="Arial" w:hAnsi="Arial"/>
                <w:color w:val="222222"/>
                <w:sz w:val="20"/>
                <w:szCs w:val="20"/>
              </w:rPr>
              <w:t xml:space="preserve"/>
            </w:r>
          </w:p>
          <w:p>
            <w:pPr>
              <w:spacing w:after="0" w:before="0"/>
            </w:pPr>
            <w:r>
              <w:rPr>
                <w:rFonts w:ascii="Arial" w:cs="Arial" w:eastAsia="Arial" w:hAnsi="Arial"/>
                <w:color w:val="222222"/>
                <w:sz w:val="20"/>
                <w:szCs w:val="20"/>
              </w:rPr>
              <w:t xml:space="preserve"/>
            </w:r>
          </w:p>
        </w:tc>
      </w:tr>
    </w:tbl>
    <w:p>
      <w:pPr>
        <w:pStyle w:val="Heading2"/>
        <w:pageBreakBefore/>
        <w:spacing w:after="80"/>
      </w:pPr>
      <w:r>
        <w:rPr>
          <w:rFonts w:ascii="Arial" w:cs="Arial" w:eastAsia="Arial" w:hAnsi="Arial"/>
          <w:b/>
          <w:bCs/>
          <w:color w:val="1A4D52"/>
          <w:sz w:val="26"/>
          <w:szCs w:val="26"/>
        </w:rPr>
        <w:t xml:space="preserve">Monitoring log</w:t>
      </w:r>
    </w:p>
    <w:p>
      <w:pPr>
        <w:spacing w:after="100" w:before="0"/>
      </w:pPr>
      <w:r>
        <w:rPr>
          <w:rFonts w:ascii="Arial" w:cs="Arial" w:eastAsia="Arial" w:hAnsi="Arial"/>
          <w:i/>
          <w:iCs/>
          <w:color w:val="5A6B6E"/>
          <w:sz w:val="18"/>
          <w:szCs w:val="18"/>
        </w:rPr>
        <w:t xml:space="preserve">Record what you saw, not that you went. “Gate A barrier open, night shift, people crossing outside the markings” is a finding; “Yard OK” is a visit. Cover nights, shift changes and peaks, not only the day shift.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700"/>
        <w:gridCol w:w="800"/>
        <w:gridCol w:w="1600"/>
        <w:gridCol w:w="1300"/>
        <w:gridCol w:w="2138"/>
        <w:gridCol w:w="1400"/>
        <w:gridCol w:w="800"/>
      </w:tblGrid>
      <w:tr>
        <w:trPr>
          <w:tblHeader/>
        </w:trPr>
        <w:tc>
          <w:tcPr>
            <w:tcW w:type="dxa" w:w="900"/>
            <w:tcBorders>
              <w:top w:val="single" w:color="BFD3D6" w:sz="4"/>
              <w:left w:val="single" w:color="BFD3D6" w:sz="4"/>
              <w:bottom w:val="single" w:color="BFD3D6" w:sz="4"/>
              <w:right w:val="single" w:color="BFD3D6" w:sz="4"/>
            </w:tcBorders>
            <w:shd w:fill="1A4D52" w:color="auto" w:val="clear"/>
            <w:tcMar>
              <w:top w:type="dxa" w:w="60"/>
              <w:left w:type="dxa" w:w="80"/>
              <w:bottom w:type="dxa" w:w="60"/>
              <w:right w:type="dxa" w:w="80"/>
            </w:tcMar>
          </w:tcPr>
          <w:p>
            <w:pPr>
              <w:spacing w:after="0" w:before="0"/>
            </w:pPr>
            <w:r>
              <w:rPr>
                <w:rFonts w:ascii="Arial" w:cs="Arial" w:eastAsia="Arial" w:hAnsi="Arial"/>
                <w:b/>
                <w:bCs/>
                <w:color w:val="FFFFFF"/>
                <w:sz w:val="16"/>
                <w:szCs w:val="16"/>
              </w:rPr>
              <w:t xml:space="preserve">Date</w:t>
            </w:r>
          </w:p>
        </w:tc>
        <w:tc>
          <w:tcPr>
            <w:tcW w:type="dxa" w:w="700"/>
            <w:tcBorders>
              <w:top w:val="single" w:color="BFD3D6" w:sz="4"/>
              <w:left w:val="single" w:color="BFD3D6" w:sz="4"/>
              <w:bottom w:val="single" w:color="BFD3D6" w:sz="4"/>
              <w:right w:val="single" w:color="BFD3D6" w:sz="4"/>
            </w:tcBorders>
            <w:shd w:fill="1A4D52" w:color="auto" w:val="clear"/>
            <w:tcMar>
              <w:top w:type="dxa" w:w="60"/>
              <w:left w:type="dxa" w:w="80"/>
              <w:bottom w:type="dxa" w:w="60"/>
              <w:right w:type="dxa" w:w="80"/>
            </w:tcMar>
          </w:tcPr>
          <w:p>
            <w:pPr>
              <w:spacing w:after="0" w:before="0"/>
            </w:pPr>
            <w:r>
              <w:rPr>
                <w:rFonts w:ascii="Arial" w:cs="Arial" w:eastAsia="Arial" w:hAnsi="Arial"/>
                <w:b/>
                <w:bCs/>
                <w:color w:val="FFFFFF"/>
                <w:sz w:val="16"/>
                <w:szCs w:val="16"/>
              </w:rPr>
              <w:t xml:space="preserve">Time</w:t>
            </w:r>
          </w:p>
        </w:tc>
        <w:tc>
          <w:tcPr>
            <w:tcW w:type="dxa" w:w="800"/>
            <w:tcBorders>
              <w:top w:val="single" w:color="BFD3D6" w:sz="4"/>
              <w:left w:val="single" w:color="BFD3D6" w:sz="4"/>
              <w:bottom w:val="single" w:color="BFD3D6" w:sz="4"/>
              <w:right w:val="single" w:color="BFD3D6" w:sz="4"/>
            </w:tcBorders>
            <w:shd w:fill="1A4D52" w:color="auto" w:val="clear"/>
            <w:tcMar>
              <w:top w:type="dxa" w:w="60"/>
              <w:left w:type="dxa" w:w="80"/>
              <w:bottom w:type="dxa" w:w="60"/>
              <w:right w:type="dxa" w:w="80"/>
            </w:tcMar>
          </w:tcPr>
          <w:p>
            <w:pPr>
              <w:spacing w:after="0" w:before="0"/>
            </w:pPr>
            <w:r>
              <w:rPr>
                <w:rFonts w:ascii="Arial" w:cs="Arial" w:eastAsia="Arial" w:hAnsi="Arial"/>
                <w:b/>
                <w:bCs/>
                <w:color w:val="FFFFFF"/>
                <w:sz w:val="16"/>
                <w:szCs w:val="16"/>
              </w:rPr>
              <w:t xml:space="preserve">Shift</w:t>
            </w:r>
          </w:p>
        </w:tc>
        <w:tc>
          <w:tcPr>
            <w:tcW w:type="dxa" w:w="1600"/>
            <w:tcBorders>
              <w:top w:val="single" w:color="BFD3D6" w:sz="4"/>
              <w:left w:val="single" w:color="BFD3D6" w:sz="4"/>
              <w:bottom w:val="single" w:color="BFD3D6" w:sz="4"/>
              <w:right w:val="single" w:color="BFD3D6" w:sz="4"/>
            </w:tcBorders>
            <w:shd w:fill="1A4D52" w:color="auto" w:val="clear"/>
            <w:tcMar>
              <w:top w:type="dxa" w:w="60"/>
              <w:left w:type="dxa" w:w="80"/>
              <w:bottom w:type="dxa" w:w="60"/>
              <w:right w:type="dxa" w:w="80"/>
            </w:tcMar>
          </w:tcPr>
          <w:p>
            <w:pPr>
              <w:spacing w:after="0" w:before="0"/>
            </w:pPr>
            <w:r>
              <w:rPr>
                <w:rFonts w:ascii="Arial" w:cs="Arial" w:eastAsia="Arial" w:hAnsi="Arial"/>
                <w:b/>
                <w:bCs/>
                <w:color w:val="FFFFFF"/>
                <w:sz w:val="16"/>
                <w:szCs w:val="16"/>
              </w:rPr>
              <w:t xml:space="preserve">Location / control</w:t>
            </w:r>
          </w:p>
        </w:tc>
        <w:tc>
          <w:tcPr>
            <w:tcW w:type="dxa" w:w="1300"/>
            <w:tcBorders>
              <w:top w:val="single" w:color="BFD3D6" w:sz="4"/>
              <w:left w:val="single" w:color="BFD3D6" w:sz="4"/>
              <w:bottom w:val="single" w:color="BFD3D6" w:sz="4"/>
              <w:right w:val="single" w:color="BFD3D6" w:sz="4"/>
            </w:tcBorders>
            <w:shd w:fill="1A4D52" w:color="auto" w:val="clear"/>
            <w:tcMar>
              <w:top w:type="dxa" w:w="60"/>
              <w:left w:type="dxa" w:w="80"/>
              <w:bottom w:type="dxa" w:w="60"/>
              <w:right w:type="dxa" w:w="80"/>
            </w:tcMar>
          </w:tcPr>
          <w:p>
            <w:pPr>
              <w:spacing w:after="0" w:before="0"/>
            </w:pPr>
            <w:r>
              <w:rPr>
                <w:rFonts w:ascii="Arial" w:cs="Arial" w:eastAsia="Arial" w:hAnsi="Arial"/>
                <w:b/>
                <w:bCs/>
                <w:color w:val="FFFFFF"/>
                <w:sz w:val="16"/>
                <w:szCs w:val="16"/>
              </w:rPr>
              <w:t xml:space="preserve">State found</w:t>
            </w:r>
          </w:p>
        </w:tc>
        <w:tc>
          <w:tcPr>
            <w:tcW w:type="dxa" w:w="2138"/>
            <w:tcBorders>
              <w:top w:val="single" w:color="BFD3D6" w:sz="4"/>
              <w:left w:val="single" w:color="BFD3D6" w:sz="4"/>
              <w:bottom w:val="single" w:color="BFD3D6" w:sz="4"/>
              <w:right w:val="single" w:color="BFD3D6" w:sz="4"/>
            </w:tcBorders>
            <w:shd w:fill="1A4D52" w:color="auto" w:val="clear"/>
            <w:tcMar>
              <w:top w:type="dxa" w:w="60"/>
              <w:left w:type="dxa" w:w="80"/>
              <w:bottom w:type="dxa" w:w="60"/>
              <w:right w:type="dxa" w:w="80"/>
            </w:tcMar>
          </w:tcPr>
          <w:p>
            <w:pPr>
              <w:spacing w:after="0" w:before="0"/>
            </w:pPr>
            <w:r>
              <w:rPr>
                <w:rFonts w:ascii="Arial" w:cs="Arial" w:eastAsia="Arial" w:hAnsi="Arial"/>
                <w:b/>
                <w:bCs/>
                <w:color w:val="FFFFFF"/>
                <w:sz w:val="16"/>
                <w:szCs w:val="16"/>
              </w:rPr>
              <w:t xml:space="preserve">What was observed</w:t>
            </w:r>
          </w:p>
        </w:tc>
        <w:tc>
          <w:tcPr>
            <w:tcW w:type="dxa" w:w="1400"/>
            <w:tcBorders>
              <w:top w:val="single" w:color="BFD3D6" w:sz="4"/>
              <w:left w:val="single" w:color="BFD3D6" w:sz="4"/>
              <w:bottom w:val="single" w:color="BFD3D6" w:sz="4"/>
              <w:right w:val="single" w:color="BFD3D6" w:sz="4"/>
            </w:tcBorders>
            <w:shd w:fill="1A4D52" w:color="auto" w:val="clear"/>
            <w:tcMar>
              <w:top w:type="dxa" w:w="60"/>
              <w:left w:type="dxa" w:w="80"/>
              <w:bottom w:type="dxa" w:w="60"/>
              <w:right w:type="dxa" w:w="80"/>
            </w:tcMar>
          </w:tcPr>
          <w:p>
            <w:pPr>
              <w:spacing w:after="0" w:before="0"/>
            </w:pPr>
            <w:r>
              <w:rPr>
                <w:rFonts w:ascii="Arial" w:cs="Arial" w:eastAsia="Arial" w:hAnsi="Arial"/>
                <w:b/>
                <w:bCs/>
                <w:color w:val="FFFFFF"/>
                <w:sz w:val="16"/>
                <w:szCs w:val="16"/>
              </w:rPr>
              <w:t xml:space="preserve">Action</w:t>
            </w:r>
          </w:p>
        </w:tc>
        <w:tc>
          <w:tcPr>
            <w:tcW w:type="dxa" w:w="800"/>
            <w:tcBorders>
              <w:top w:val="single" w:color="BFD3D6" w:sz="4"/>
              <w:left w:val="single" w:color="BFD3D6" w:sz="4"/>
              <w:bottom w:val="single" w:color="BFD3D6" w:sz="4"/>
              <w:right w:val="single" w:color="BFD3D6" w:sz="4"/>
            </w:tcBorders>
            <w:shd w:fill="1A4D52" w:color="auto" w:val="clear"/>
            <w:tcMar>
              <w:top w:type="dxa" w:w="60"/>
              <w:left w:type="dxa" w:w="80"/>
              <w:bottom w:type="dxa" w:w="60"/>
              <w:right w:type="dxa" w:w="80"/>
            </w:tcMar>
          </w:tcPr>
          <w:p>
            <w:pPr>
              <w:spacing w:after="0" w:before="0"/>
            </w:pPr>
            <w:r>
              <w:rPr>
                <w:rFonts w:ascii="Arial" w:cs="Arial" w:eastAsia="Arial" w:hAnsi="Arial"/>
                <w:b/>
                <w:bCs/>
                <w:color w:val="FFFFFF"/>
                <w:sz w:val="16"/>
                <w:szCs w:val="16"/>
              </w:rPr>
              <w:t xml:space="preserve">By</w:t>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9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7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3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1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8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bl>
    <w:p>
      <w:pPr>
        <w:pStyle w:val="Heading2"/>
        <w:spacing w:after="80" w:before="280"/>
      </w:pPr>
      <w:r>
        <w:rPr>
          <w:rFonts w:ascii="Arial" w:cs="Arial" w:eastAsia="Arial" w:hAnsi="Arial"/>
          <w:b/>
          <w:bCs/>
          <w:color w:val="1A4D52"/>
          <w:sz w:val="26"/>
          <w:szCs w:val="26"/>
        </w:rPr>
        <w:t xml:space="preserve">Review log</w:t>
      </w:r>
    </w:p>
    <w:p>
      <w:pPr>
        <w:spacing w:after="100" w:before="0"/>
      </w:pPr>
      <w:r>
        <w:rPr>
          <w:rFonts w:ascii="Arial" w:cs="Arial" w:eastAsia="Arial" w:hAnsi="Arial"/>
          <w:i/>
          <w:iCs/>
          <w:color w:val="5A6B6E"/>
          <w:sz w:val="18"/>
          <w:szCs w:val="18"/>
        </w:rPr>
        <w:t xml:space="preserve">Review after any significant change, an incident or near miss, or on your scheduled date.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2600"/>
        <w:gridCol w:w="4438"/>
        <w:gridCol w:w="1400"/>
      </w:tblGrid>
      <w:tr>
        <w:trPr>
          <w:tblHeader/>
        </w:trPr>
        <w:tc>
          <w:tcPr>
            <w:tcW w:type="dxa" w:w="1200"/>
            <w:tcBorders>
              <w:top w:val="single" w:color="BFD3D6" w:sz="4"/>
              <w:left w:val="single" w:color="BFD3D6" w:sz="4"/>
              <w:bottom w:val="single" w:color="BFD3D6" w:sz="4"/>
              <w:right w:val="single" w:color="BFD3D6" w:sz="4"/>
            </w:tcBorders>
            <w:shd w:fill="1A4D52" w:color="auto" w:val="clear"/>
            <w:tcMar>
              <w:top w:type="dxa" w:w="60"/>
              <w:left w:type="dxa" w:w="80"/>
              <w:bottom w:type="dxa" w:w="60"/>
              <w:right w:type="dxa" w:w="80"/>
            </w:tcMar>
          </w:tcPr>
          <w:p>
            <w:pPr>
              <w:spacing w:after="0" w:before="0"/>
            </w:pPr>
            <w:r>
              <w:rPr>
                <w:rFonts w:ascii="Arial" w:cs="Arial" w:eastAsia="Arial" w:hAnsi="Arial"/>
                <w:b/>
                <w:bCs/>
                <w:color w:val="FFFFFF"/>
                <w:sz w:val="16"/>
                <w:szCs w:val="16"/>
              </w:rPr>
              <w:t xml:space="preserve">Date</w:t>
            </w:r>
          </w:p>
        </w:tc>
        <w:tc>
          <w:tcPr>
            <w:tcW w:type="dxa" w:w="2600"/>
            <w:tcBorders>
              <w:top w:val="single" w:color="BFD3D6" w:sz="4"/>
              <w:left w:val="single" w:color="BFD3D6" w:sz="4"/>
              <w:bottom w:val="single" w:color="BFD3D6" w:sz="4"/>
              <w:right w:val="single" w:color="BFD3D6" w:sz="4"/>
            </w:tcBorders>
            <w:shd w:fill="1A4D52" w:color="auto" w:val="clear"/>
            <w:tcMar>
              <w:top w:type="dxa" w:w="60"/>
              <w:left w:type="dxa" w:w="80"/>
              <w:bottom w:type="dxa" w:w="60"/>
              <w:right w:type="dxa" w:w="80"/>
            </w:tcMar>
          </w:tcPr>
          <w:p>
            <w:pPr>
              <w:spacing w:after="0" w:before="0"/>
            </w:pPr>
            <w:r>
              <w:rPr>
                <w:rFonts w:ascii="Arial" w:cs="Arial" w:eastAsia="Arial" w:hAnsi="Arial"/>
                <w:b/>
                <w:bCs/>
                <w:color w:val="FFFFFF"/>
                <w:sz w:val="16"/>
                <w:szCs w:val="16"/>
              </w:rPr>
              <w:t xml:space="preserve">Reason for review</w:t>
            </w:r>
          </w:p>
        </w:tc>
        <w:tc>
          <w:tcPr>
            <w:tcW w:type="dxa" w:w="4438"/>
            <w:tcBorders>
              <w:top w:val="single" w:color="BFD3D6" w:sz="4"/>
              <w:left w:val="single" w:color="BFD3D6" w:sz="4"/>
              <w:bottom w:val="single" w:color="BFD3D6" w:sz="4"/>
              <w:right w:val="single" w:color="BFD3D6" w:sz="4"/>
            </w:tcBorders>
            <w:shd w:fill="1A4D52" w:color="auto" w:val="clear"/>
            <w:tcMar>
              <w:top w:type="dxa" w:w="60"/>
              <w:left w:type="dxa" w:w="80"/>
              <w:bottom w:type="dxa" w:w="60"/>
              <w:right w:type="dxa" w:w="80"/>
            </w:tcMar>
          </w:tcPr>
          <w:p>
            <w:pPr>
              <w:spacing w:after="0" w:before="0"/>
            </w:pPr>
            <w:r>
              <w:rPr>
                <w:rFonts w:ascii="Arial" w:cs="Arial" w:eastAsia="Arial" w:hAnsi="Arial"/>
                <w:b/>
                <w:bCs/>
                <w:color w:val="FFFFFF"/>
                <w:sz w:val="16"/>
                <w:szCs w:val="16"/>
              </w:rPr>
              <w:t xml:space="preserve">Changes made</w:t>
            </w:r>
          </w:p>
        </w:tc>
        <w:tc>
          <w:tcPr>
            <w:tcW w:type="dxa" w:w="1400"/>
            <w:tcBorders>
              <w:top w:val="single" w:color="BFD3D6" w:sz="4"/>
              <w:left w:val="single" w:color="BFD3D6" w:sz="4"/>
              <w:bottom w:val="single" w:color="BFD3D6" w:sz="4"/>
              <w:right w:val="single" w:color="BFD3D6" w:sz="4"/>
            </w:tcBorders>
            <w:shd w:fill="1A4D52" w:color="auto" w:val="clear"/>
            <w:tcMar>
              <w:top w:type="dxa" w:w="60"/>
              <w:left w:type="dxa" w:w="80"/>
              <w:bottom w:type="dxa" w:w="60"/>
              <w:right w:type="dxa" w:w="80"/>
            </w:tcMar>
          </w:tcPr>
          <w:p>
            <w:pPr>
              <w:spacing w:after="0" w:before="0"/>
            </w:pPr>
            <w:r>
              <w:rPr>
                <w:rFonts w:ascii="Arial" w:cs="Arial" w:eastAsia="Arial" w:hAnsi="Arial"/>
                <w:b/>
                <w:bCs/>
                <w:color w:val="FFFFFF"/>
                <w:sz w:val="16"/>
                <w:szCs w:val="16"/>
              </w:rPr>
              <w:t xml:space="preserve">By</w:t>
            </w:r>
          </w:p>
        </w:tc>
      </w:tr>
      <w:tr>
        <w:trPr>
          <w:trHeight w:val="480" w:hRule="atLeast"/>
        </w:trPr>
        <w:tc>
          <w:tcPr>
            <w:tcW w:type="dxa" w:w="12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44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12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44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12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44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12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44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12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44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r>
        <w:trPr>
          <w:trHeight w:val="480" w:hRule="atLeast"/>
        </w:trPr>
        <w:tc>
          <w:tcPr>
            <w:tcW w:type="dxa" w:w="12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26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4438"/>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c>
          <w:tcPr>
            <w:tcW w:type="dxa" w:w="1400"/>
            <w:tcBorders>
              <w:top w:val="single" w:color="BFD3D6" w:sz="4"/>
              <w:left w:val="single" w:color="BFD3D6" w:sz="4"/>
              <w:bottom w:val="single" w:color="BFD3D6" w:sz="4"/>
              <w:right w:val="single" w:color="BFD3D6" w:sz="4"/>
            </w:tcBorders>
          </w:tcPr>
          <w:p>
            <w:pPr>
              <w:spacing w:after="0" w:before="0"/>
            </w:pPr>
            <w:r>
              <w:rPr>
                <w:rFonts w:ascii="Arial" w:cs="Arial" w:eastAsia="Arial" w:hAnsi="Arial"/>
                <w:color w:val="222222"/>
                <w:sz w:val="20"/>
                <w:szCs w:val="20"/>
              </w:rPr>
              <w:t xml:space="preserve"/>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Arial" w:cs="Arial" w:eastAsia="Arial" w:hAnsi="Arial"/>
        <w:color w:val="5A6B6E"/>
        <w:sz w:val="14"/>
        <w:szCs w:val="14"/>
      </w:rPr>
      <w:t xml:space="preserve">Free template from robok.ai/guides/traffic-management-plan-template · Based on HSE HSG136. Adapt it to your site’s risk assessment.</w:t>
    </w:r>
    <w:r>
      <w:rPr>
        <w:rFonts w:ascii="Arial" w:cs="Arial" w:eastAsia="Arial" w:hAnsi="Arial"/>
        <w:color w:val="5A6B6E"/>
        <w:sz w:val="14"/>
        <w:szCs w:val="14"/>
      </w:rPr>
      <w:t xml:space="preserve">	Page </w:t>
    </w:r>
    <w:r>
      <w:rPr>
        <w:rFonts w:ascii="Arial" w:cs="Arial" w:eastAsia="Arial" w:hAnsi="Arial"/>
        <w:color w:val="5A6B6E"/>
        <w:sz w:val="14"/>
        <w:szCs w:val="14"/>
      </w:rPr>
      <w:fldChar w:fldCharType="begin"/>
    </w:r>
    <w:r>
      <w:rPr>
        <w:rFonts w:ascii="Arial" w:cs="Arial" w:eastAsia="Arial" w:hAnsi="Arial"/>
        <w:color w:val="5A6B6E"/>
        <w:sz w:val="14"/>
        <w:szCs w:val="14"/>
      </w:rPr>
      <w:instrText xml:space="preserve">PAGE</w:instrText>
    </w:r>
    <w:r>
      <w:rPr>
        <w:rFonts w:ascii="Arial" w:cs="Arial" w:eastAsia="Arial" w:hAnsi="Arial"/>
        <w:color w:val="5A6B6E"/>
        <w:sz w:val="14"/>
        <w:szCs w:val="14"/>
      </w:rPr>
      <w:fldChar w:fldCharType="separate"/>
    </w:r>
    <w:r>
      <w:rPr>
        <w:rFonts w:ascii="Arial" w:cs="Arial" w:eastAsia="Arial" w:hAnsi="Arial"/>
        <w:color w:val="5A6B6E"/>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2026-10-28T22:01:10.533Z</dcterms:created>
  <dcterms:modified xsi:type="dcterms:W3CDTF">2026-10-28T22:01:10.533Z</dcterms:modified>
</cp:coreProperties>
</file>

<file path=docProps/custom.xml><?xml version="1.0" encoding="utf-8"?>
<Properties xmlns="http://schemas.openxmlformats.org/officeDocument/2006/custom-properties" xmlns:vt="http://schemas.openxmlformats.org/officeDocument/2006/docPropsVTypes"/>
</file>